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FC190">
      <w:pPr>
        <w:jc w:val="center"/>
        <w:rPr>
          <w:rFonts w:ascii="方正大标宋简体" w:hAnsi="方正大标宋简体" w:eastAsia="方正大标宋简体"/>
          <w:sz w:val="44"/>
          <w:szCs w:val="44"/>
        </w:rPr>
      </w:pPr>
      <w:r>
        <w:rPr>
          <w:rFonts w:hint="eastAsia" w:ascii="微软雅黑" w:hAnsi="微软雅黑" w:eastAsia="微软雅黑" w:cs="微软雅黑"/>
          <w:sz w:val="44"/>
          <w:szCs w:val="44"/>
        </w:rPr>
        <w:t>202</w:t>
      </w:r>
      <w:r>
        <w:rPr>
          <w:rFonts w:hint="eastAsia" w:ascii="微软雅黑" w:hAnsi="微软雅黑" w:eastAsia="微软雅黑" w:cs="微软雅黑"/>
          <w:sz w:val="44"/>
          <w:szCs w:val="44"/>
          <w:lang w:val="en-US" w:eastAsia="zh-CN"/>
        </w:rPr>
        <w:t>6</w:t>
      </w:r>
      <w:r>
        <w:rPr>
          <w:rFonts w:hint="eastAsia" w:ascii="微软雅黑" w:hAnsi="微软雅黑" w:eastAsia="微软雅黑" w:cs="微软雅黑"/>
          <w:sz w:val="44"/>
          <w:szCs w:val="44"/>
        </w:rPr>
        <w:t>年</w:t>
      </w:r>
      <w:r>
        <w:rPr>
          <w:rFonts w:hint="eastAsia" w:ascii="微软雅黑" w:hAnsi="微软雅黑" w:eastAsia="微软雅黑" w:cs="微软雅黑"/>
          <w:sz w:val="44"/>
          <w:szCs w:val="44"/>
          <w:lang w:val="en-US" w:eastAsia="zh-CN"/>
        </w:rPr>
        <w:t>女子篮球</w:t>
      </w:r>
      <w:r>
        <w:rPr>
          <w:rFonts w:hint="eastAsia" w:ascii="微软雅黑" w:hAnsi="微软雅黑" w:eastAsia="微软雅黑" w:cs="微软雅黑"/>
          <w:sz w:val="44"/>
          <w:szCs w:val="44"/>
        </w:rPr>
        <w:t>体育特定类型招生简章</w:t>
      </w:r>
    </w:p>
    <w:p w14:paraId="39E57A7C">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（南京市第二十七初级中学  女子篮球项目）</w:t>
      </w:r>
    </w:p>
    <w:p w14:paraId="6E70F76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759DD16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一、招生项目和人数</w:t>
      </w:r>
    </w:p>
    <w:p w14:paraId="3A3FF3F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女子篮球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12人。</w:t>
      </w:r>
    </w:p>
    <w:p w14:paraId="3E18676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二、招生对象</w:t>
      </w:r>
    </w:p>
    <w:p w14:paraId="6079733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符合当年南京市义务教育招生入学政策的小学毕业生且符合下列条件的，可选择一所学校一个项目报名。</w:t>
      </w:r>
    </w:p>
    <w:p w14:paraId="4352DE5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（一）运动员注册：代表南京市在“江苏体育统一身份认证平台”完成运动员注册。因客观原因尚未完成注册的，须在报名材料现场审核时，与项目联办体校签订注册协议。</w:t>
      </w:r>
    </w:p>
    <w:p w14:paraId="4D45C7DC">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（二）文化成绩：小学阶段品德优秀，四、五、六年级（不含六年级下学期）《我的成长脚印》综合评价优良。</w:t>
      </w:r>
    </w:p>
    <w:p w14:paraId="2C0513DC">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s="黑体"/>
          <w:sz w:val="32"/>
          <w:szCs w:val="32"/>
        </w:rPr>
      </w:pPr>
      <w:r>
        <w:rPr>
          <w:rFonts w:hint="eastAsia" w:ascii="仿宋_GB2312" w:hAnsi="仿宋_GB2312" w:eastAsia="仿宋_GB2312" w:cs="仿宋_GB2312"/>
          <w:sz w:val="32"/>
          <w:szCs w:val="32"/>
        </w:rPr>
        <w:t>（三）专业成绩：小学阶段获得报考项目国家二级运动员证书或者获得报考项目南京市教育、体育行政部门主办的体育竞赛前三名或江苏省及以上教育、体育行政部门主办的体育竞赛前八名。以上专业成绩均以竞赛成绩册或证书为准。</w:t>
      </w:r>
      <w:r>
        <w:rPr>
          <w:rFonts w:hint="eastAsia" w:ascii="仿宋" w:hAnsi="仿宋" w:eastAsia="仿宋" w:cs="仿宋"/>
          <w:sz w:val="32"/>
          <w:szCs w:val="32"/>
        </w:rPr>
        <w:t xml:space="preserve">  </w:t>
      </w:r>
      <w:r>
        <w:rPr>
          <w:rFonts w:hint="eastAsia" w:ascii="黑体" w:hAnsi="黑体" w:eastAsia="黑体" w:cs="黑体"/>
          <w:sz w:val="32"/>
          <w:szCs w:val="32"/>
        </w:rPr>
        <w:t xml:space="preserve">      </w:t>
      </w:r>
    </w:p>
    <w:p w14:paraId="77CC6E0D">
      <w:pPr>
        <w:keepNext w:val="0"/>
        <w:keepLines w:val="0"/>
        <w:pageBreakBefore w:val="0"/>
        <w:widowControl w:val="0"/>
        <w:kinsoku/>
        <w:wordWrap/>
        <w:overflowPunct/>
        <w:topLinePunct w:val="0"/>
        <w:autoSpaceDE/>
        <w:autoSpaceDN/>
        <w:bidi w:val="0"/>
        <w:adjustRightInd/>
        <w:snapToGrid/>
        <w:spacing w:line="480" w:lineRule="exact"/>
        <w:ind w:firstLine="960" w:firstLineChars="300"/>
        <w:textAlignment w:val="auto"/>
        <w:rPr>
          <w:rFonts w:ascii="黑体" w:hAnsi="黑体" w:eastAsia="黑体" w:cs="黑体"/>
          <w:sz w:val="32"/>
          <w:szCs w:val="32"/>
        </w:rPr>
      </w:pPr>
      <w:r>
        <w:rPr>
          <w:rFonts w:hint="eastAsia" w:ascii="黑体" w:hAnsi="黑体" w:eastAsia="黑体" w:cs="黑体"/>
          <w:sz w:val="32"/>
          <w:szCs w:val="32"/>
        </w:rPr>
        <w:t>三、招生流程</w:t>
      </w:r>
    </w:p>
    <w:p w14:paraId="714266F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请报名学生于6月2日-3日在“南京市初中体育艺术特定类型招生报名平台”完成线上报名（平台二维码附后），同时，需同步在“南京市义务教育招生信息化服务平台”注册登记，未同时在线上报名的和南京市义务教育招生信息化服务平台注册登记的，不得参加专业测试。需要线下提交的纸质报名材料有：竞赛成绩证书原件及复印件、四至六年级成长手册原件及复印件、身份证原件及复印件、1寸数码照片（学生报名项目必须与提交的专业成绩证明材料项目一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报名完成后，</w:t>
      </w:r>
      <w:r>
        <w:rPr>
          <w:rFonts w:hint="eastAsia" w:ascii="仿宋_GB2312" w:hAnsi="仿宋_GB2312" w:eastAsia="仿宋_GB2312" w:cs="仿宋_GB2312"/>
          <w:sz w:val="32"/>
          <w:szCs w:val="32"/>
        </w:rPr>
        <w:t>请于</w:t>
      </w:r>
      <w:r>
        <w:rPr>
          <w:rFonts w:hint="eastAsia" w:ascii="仿宋_GB2312" w:hAnsi="仿宋_GB2312" w:eastAsia="仿宋_GB2312" w:cs="仿宋_GB2312"/>
          <w:color w:val="000000" w:themeColor="text1"/>
          <w:sz w:val="32"/>
          <w:szCs w:val="32"/>
          <w14:textFill>
            <w14:solidFill>
              <w14:schemeClr w14:val="tx1"/>
            </w14:solidFill>
          </w14:textFill>
        </w:rPr>
        <w:t>6月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11:00</w:t>
      </w:r>
      <w:r>
        <w:rPr>
          <w:rFonts w:hint="eastAsia" w:ascii="仿宋_GB2312" w:hAnsi="仿宋_GB2312" w:eastAsia="仿宋_GB2312" w:cs="仿宋_GB2312"/>
          <w:color w:val="000000" w:themeColor="text1"/>
          <w:sz w:val="32"/>
          <w:szCs w:val="32"/>
          <w14:textFill>
            <w14:solidFill>
              <w14:schemeClr w14:val="tx1"/>
            </w14:solidFill>
          </w14:textFill>
        </w:rPr>
        <w:t>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前</w:t>
      </w:r>
      <w:r>
        <w:rPr>
          <w:rFonts w:hint="eastAsia" w:ascii="仿宋_GB2312" w:hAnsi="仿宋_GB2312" w:eastAsia="仿宋_GB2312" w:cs="仿宋_GB2312"/>
          <w:sz w:val="32"/>
          <w:szCs w:val="32"/>
        </w:rPr>
        <w:t>，到南京市中山东路体育运动学校训练科（南京市玄武区中山东路145号）提交纸质报名材料；联系人：刘老师；联系电话：025-83357386。</w:t>
      </w:r>
    </w:p>
    <w:p w14:paraId="7C02BD8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color w:val="000000" w:themeColor="text1"/>
          <w:sz w:val="32"/>
          <w:szCs w:val="32"/>
          <w14:textFill>
            <w14:solidFill>
              <w14:schemeClr w14:val="tx1"/>
            </w14:solidFill>
          </w14:textFill>
        </w:rPr>
        <w:t>6月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下午</w:t>
      </w:r>
      <w:r>
        <w:rPr>
          <w:rFonts w:hint="eastAsia" w:ascii="仿宋_GB2312" w:hAnsi="仿宋_GB2312" w:eastAsia="仿宋_GB2312" w:cs="仿宋_GB2312"/>
          <w:sz w:val="32"/>
          <w:szCs w:val="32"/>
        </w:rPr>
        <w:t>，南京市第二十七初级中学、南京市中山东路体育</w:t>
      </w:r>
      <w:r>
        <w:rPr>
          <w:rFonts w:hint="eastAsia" w:ascii="仿宋_GB2312" w:hAnsi="仿宋_GB2312" w:eastAsia="仿宋_GB2312" w:cs="仿宋_GB2312"/>
          <w:sz w:val="32"/>
          <w:szCs w:val="32"/>
          <w:lang w:val="en-US" w:eastAsia="zh-CN"/>
        </w:rPr>
        <w:t>运动</w:t>
      </w:r>
      <w:r>
        <w:rPr>
          <w:rFonts w:hint="eastAsia" w:ascii="仿宋_GB2312" w:hAnsi="仿宋_GB2312" w:eastAsia="仿宋_GB2312" w:cs="仿宋_GB2312"/>
          <w:sz w:val="32"/>
          <w:szCs w:val="32"/>
        </w:rPr>
        <w:t>学校共同对报名学生材料进行审核。6月6日，审核合格的报名学生名单将在市体育局官网</w:t>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"https://sports.nanjing.gov.cn/" </w:instrText>
      </w:r>
      <w:r>
        <w:rPr>
          <w:color w:val="000000" w:themeColor="text1"/>
          <w:u w:val="none"/>
          <w14:textFill>
            <w14:solidFill>
              <w14:schemeClr w14:val="tx1"/>
            </w14:solidFill>
          </w14:textFill>
        </w:rPr>
        <w:fldChar w:fldCharType="separate"/>
      </w:r>
      <w:r>
        <w:rPr>
          <w:rStyle w:val="8"/>
          <w:rFonts w:ascii="仿宋_GB2312" w:hAnsi="仿宋_GB2312" w:eastAsia="仿宋_GB2312" w:cs="仿宋_GB2312"/>
          <w:color w:val="000000" w:themeColor="text1"/>
          <w:sz w:val="32"/>
          <w:szCs w:val="32"/>
          <w:u w:val="none"/>
          <w14:textFill>
            <w14:solidFill>
              <w14:schemeClr w14:val="tx1"/>
            </w14:solidFill>
          </w14:textFill>
        </w:rPr>
        <w:t>https://sports.nanjing.gov.cn/</w:t>
      </w:r>
      <w:r>
        <w:rPr>
          <w:rStyle w:val="8"/>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和南京市第二十七初级中学网站</w:t>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"https://27cz.njqhjy.net/" </w:instrText>
      </w:r>
      <w:r>
        <w:rPr>
          <w:color w:val="000000" w:themeColor="text1"/>
          <w:u w:val="none"/>
          <w14:textFill>
            <w14:solidFill>
              <w14:schemeClr w14:val="tx1"/>
            </w14:solidFill>
          </w14:textFill>
        </w:rPr>
        <w:fldChar w:fldCharType="separate"/>
      </w:r>
      <w:r>
        <w:rPr>
          <w:rStyle w:val="8"/>
          <w:rFonts w:ascii="仿宋_GB2312" w:hAnsi="仿宋_GB2312" w:eastAsia="仿宋_GB2312" w:cs="仿宋_GB2312"/>
          <w:color w:val="000000" w:themeColor="text1"/>
          <w:sz w:val="32"/>
          <w:szCs w:val="32"/>
          <w:u w:val="none"/>
          <w14:textFill>
            <w14:solidFill>
              <w14:schemeClr w14:val="tx1"/>
            </w14:solidFill>
          </w14:textFill>
        </w:rPr>
        <w:t>https://27cz.njqhjy.net/</w:t>
      </w:r>
      <w:r>
        <w:rPr>
          <w:rStyle w:val="8"/>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rFonts w:hint="eastAsia" w:ascii="仿宋_GB2312" w:hAnsi="仿宋_GB2312" w:eastAsia="仿宋_GB2312" w:cs="仿宋_GB2312"/>
          <w:sz w:val="32"/>
          <w:szCs w:val="32"/>
        </w:rPr>
        <w:t>、南京市中山东路体育</w:t>
      </w:r>
      <w:r>
        <w:rPr>
          <w:rFonts w:hint="eastAsia" w:ascii="仿宋_GB2312" w:hAnsi="仿宋_GB2312" w:eastAsia="仿宋_GB2312" w:cs="仿宋_GB2312"/>
          <w:sz w:val="32"/>
          <w:szCs w:val="32"/>
          <w:lang w:val="en-US" w:eastAsia="zh-CN"/>
        </w:rPr>
        <w:t>运动</w:t>
      </w:r>
      <w:r>
        <w:rPr>
          <w:rFonts w:hint="eastAsia" w:ascii="仿宋_GB2312" w:hAnsi="仿宋_GB2312" w:eastAsia="仿宋_GB2312" w:cs="仿宋_GB2312"/>
          <w:sz w:val="32"/>
          <w:szCs w:val="32"/>
        </w:rPr>
        <w:t>学校网站</w:t>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"http://www.zsdltx.com/" </w:instrText>
      </w:r>
      <w:r>
        <w:rPr>
          <w:color w:val="000000" w:themeColor="text1"/>
          <w:u w:val="none"/>
          <w14:textFill>
            <w14:solidFill>
              <w14:schemeClr w14:val="tx1"/>
            </w14:solidFill>
          </w14:textFill>
        </w:rPr>
        <w:fldChar w:fldCharType="separate"/>
      </w:r>
      <w:r>
        <w:rPr>
          <w:rStyle w:val="8"/>
          <w:rFonts w:ascii="仿宋_GB2312" w:hAnsi="仿宋_GB2312" w:eastAsia="仿宋_GB2312" w:cs="仿宋_GB2312"/>
          <w:color w:val="000000" w:themeColor="text1"/>
          <w:sz w:val="32"/>
          <w:szCs w:val="32"/>
          <w:u w:val="none"/>
          <w14:textFill>
            <w14:solidFill>
              <w14:schemeClr w14:val="tx1"/>
            </w14:solidFill>
          </w14:textFill>
        </w:rPr>
        <w:t>http://www.zsdltx.com/</w:t>
      </w:r>
      <w:r>
        <w:rPr>
          <w:rStyle w:val="8"/>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进行公示（公示期3天）。6月13日，将对公示无异议的报名学生发放专业测试准考证。</w:t>
      </w:r>
    </w:p>
    <w:p w14:paraId="1634950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（三）专业测试</w:t>
      </w:r>
    </w:p>
    <w:p w14:paraId="482202E3">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1.时间：6月22日14</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30</w:t>
      </w:r>
    </w:p>
    <w:p w14:paraId="35259418">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2.地点：南京市第二十七初级中学体育馆</w:t>
      </w:r>
    </w:p>
    <w:p w14:paraId="55B7A315">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3.测试内容：</w:t>
      </w:r>
    </w:p>
    <w:p w14:paraId="7021D7B8">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身体形态（占总分10%）：包含身高、臂展；</w:t>
      </w:r>
    </w:p>
    <w:p w14:paraId="2B1F5ABA">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身体素质（占总分30%）：包含立定跳远、跳绳双飞；</w:t>
      </w:r>
    </w:p>
    <w:p w14:paraId="122BEDC3">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基本技术占（占总分30%）：包含1分钟投篮、全场运球跑篮；</w:t>
      </w:r>
    </w:p>
    <w:p w14:paraId="6D07BA8B">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实战能力（占总分30%）：包含技术水平、战术意识。</w:t>
      </w:r>
    </w:p>
    <w:p w14:paraId="08675BF3">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4.评分标准：见附件</w:t>
      </w:r>
    </w:p>
    <w:p w14:paraId="53E26362">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5.合格线：60分</w:t>
      </w:r>
    </w:p>
    <w:p w14:paraId="508C4F7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6.测试结果尾数同分排序规则：测试结果位数相同时按照</w:t>
      </w:r>
      <w:r>
        <w:rPr>
          <w:rFonts w:hint="eastAsia" w:ascii="仿宋_GB2312" w:hAnsi="仿宋_GB2312" w:eastAsia="仿宋_GB2312" w:cs="仿宋_GB2312"/>
          <w:color w:val="000000" w:themeColor="text1"/>
          <w:sz w:val="32"/>
          <w:szCs w:val="32"/>
          <w14:textFill>
            <w14:solidFill>
              <w14:schemeClr w14:val="tx1"/>
            </w14:solidFill>
          </w14:textFill>
        </w:rPr>
        <w:t>基本技术</w:t>
      </w:r>
      <w:r>
        <w:rPr>
          <w:rFonts w:hint="eastAsia" w:ascii="仿宋_GB2312" w:hAnsi="仿宋_GB2312" w:eastAsia="仿宋_GB2312" w:cs="仿宋_GB2312"/>
          <w:color w:val="000000" w:themeColor="text1"/>
          <w:kern w:val="0"/>
          <w:sz w:val="32"/>
          <w:szCs w:val="32"/>
          <w14:textFill>
            <w14:solidFill>
              <w14:schemeClr w14:val="tx1"/>
            </w14:solidFill>
          </w14:textFill>
        </w:rPr>
        <w:t>分数高低排序。</w:t>
      </w:r>
    </w:p>
    <w:p w14:paraId="4B02F4C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四、录取</w:t>
      </w:r>
    </w:p>
    <w:p w14:paraId="79C4D2E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（一）根据报名学生专业测试成绩情况和阵容要求，择优录取。</w:t>
      </w:r>
    </w:p>
    <w:p w14:paraId="73BD724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（二）由招生工作领导小组根据专业测试成绩由高到低排名确定拟录取名单（专业测试成绩满分100分，最低录取分数为60分）。</w:t>
      </w:r>
      <w:r>
        <w:rPr>
          <w:rFonts w:hint="eastAsia" w:ascii="仿宋_GB2312" w:hAnsi="仿宋_GB2312" w:eastAsia="仿宋_GB2312" w:cs="仿宋_GB2312"/>
          <w:color w:val="000000" w:themeColor="text1"/>
          <w:sz w:val="32"/>
          <w:szCs w:val="32"/>
          <w14:textFill>
            <w14:solidFill>
              <w14:schemeClr w14:val="tx1"/>
            </w14:solidFill>
          </w14:textFill>
        </w:rPr>
        <w:t>测试结果于6月24日在市体育局官网</w:t>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"https://sports.nanjing.gov.cn/" </w:instrText>
      </w:r>
      <w:r>
        <w:rPr>
          <w:color w:val="000000" w:themeColor="text1"/>
          <w:u w:val="none"/>
          <w14:textFill>
            <w14:solidFill>
              <w14:schemeClr w14:val="tx1"/>
            </w14:solidFill>
          </w14:textFill>
        </w:rPr>
        <w:fldChar w:fldCharType="separate"/>
      </w:r>
      <w:r>
        <w:rPr>
          <w:rStyle w:val="8"/>
          <w:rFonts w:ascii="仿宋_GB2312" w:hAnsi="仿宋_GB2312" w:eastAsia="仿宋_GB2312" w:cs="仿宋_GB2312"/>
          <w:color w:val="000000" w:themeColor="text1"/>
          <w:sz w:val="32"/>
          <w:szCs w:val="32"/>
          <w:u w:val="none"/>
          <w14:textFill>
            <w14:solidFill>
              <w14:schemeClr w14:val="tx1"/>
            </w14:solidFill>
          </w14:textFill>
        </w:rPr>
        <w:t>https://sports.nanjing.gov.cn/</w:t>
      </w:r>
      <w:r>
        <w:rPr>
          <w:rStyle w:val="8"/>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）和南京市第二十七初级中学网站（</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"https://27cz.njqhjy.net/" </w:instrText>
      </w:r>
      <w:r>
        <w:rPr>
          <w:color w:val="000000" w:themeColor="text1"/>
          <w:u w:val="none"/>
          <w14:textFill>
            <w14:solidFill>
              <w14:schemeClr w14:val="tx1"/>
            </w14:solidFill>
          </w14:textFill>
        </w:rPr>
        <w:fldChar w:fldCharType="separate"/>
      </w:r>
      <w:r>
        <w:rPr>
          <w:rStyle w:val="8"/>
          <w:rFonts w:ascii="仿宋_GB2312" w:hAnsi="仿宋_GB2312" w:eastAsia="仿宋_GB2312" w:cs="仿宋_GB2312"/>
          <w:color w:val="000000" w:themeColor="text1"/>
          <w:sz w:val="32"/>
          <w:szCs w:val="32"/>
          <w:u w:val="none"/>
          <w14:textFill>
            <w14:solidFill>
              <w14:schemeClr w14:val="tx1"/>
            </w14:solidFill>
          </w14:textFill>
        </w:rPr>
        <w:t>https://27cz.njqhjy.net/</w:t>
      </w:r>
      <w:r>
        <w:rPr>
          <w:rStyle w:val="8"/>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）、南京市中山东路体育</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运动</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学校网站（</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"http://www.zsdltx.com/" </w:instrText>
      </w:r>
      <w:r>
        <w:rPr>
          <w:color w:val="000000" w:themeColor="text1"/>
          <w:u w:val="none"/>
          <w14:textFill>
            <w14:solidFill>
              <w14:schemeClr w14:val="tx1"/>
            </w14:solidFill>
          </w14:textFill>
        </w:rPr>
        <w:fldChar w:fldCharType="separate"/>
      </w:r>
      <w:r>
        <w:rPr>
          <w:rStyle w:val="8"/>
          <w:rFonts w:ascii="仿宋_GB2312" w:hAnsi="仿宋_GB2312" w:eastAsia="仿宋_GB2312" w:cs="仿宋_GB2312"/>
          <w:color w:val="000000" w:themeColor="text1"/>
          <w:sz w:val="32"/>
          <w:szCs w:val="32"/>
          <w:u w:val="none"/>
          <w14:textFill>
            <w14:solidFill>
              <w14:schemeClr w14:val="tx1"/>
            </w14:solidFill>
          </w14:textFill>
        </w:rPr>
        <w:t>http://www.zsdltx.com/</w:t>
      </w:r>
      <w:r>
        <w:rPr>
          <w:rStyle w:val="8"/>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）进行公示（公示期3天）。6月30日-7月2日，测试入围拟录取的考生</w:t>
      </w:r>
      <w:r>
        <w:rPr>
          <w:rFonts w:hint="eastAsia" w:ascii="仿宋_GB2312" w:hAnsi="仿宋_GB2312" w:eastAsia="仿宋_GB2312" w:cs="仿宋_GB2312"/>
          <w:sz w:val="32"/>
          <w:szCs w:val="32"/>
        </w:rPr>
        <w:t>家长在南京市义务教育招生信息化服务平台确认录取信息。</w:t>
      </w:r>
      <w:r>
        <w:rPr>
          <w:rFonts w:hint="eastAsia" w:ascii="仿宋_GB2312" w:hAnsi="仿宋_GB2312" w:eastAsia="仿宋_GB2312" w:cs="仿宋_GB2312"/>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仿宋_GB2312" w:hAnsi="仿宋_GB2312" w:eastAsia="仿宋_GB2312" w:cs="仿宋_GB2312"/>
          <w:sz w:val="32"/>
          <w:szCs w:val="32"/>
        </w:rPr>
        <w:t>8月10日前，</w:t>
      </w:r>
      <w:r>
        <w:rPr>
          <w:rFonts w:hint="eastAsia" w:ascii="仿宋_GB2312" w:hAnsi="仿宋_GB2312" w:eastAsia="仿宋_GB2312" w:cs="仿宋_GB2312"/>
          <w:color w:val="000000" w:themeColor="text1"/>
          <w:kern w:val="0"/>
          <w:sz w:val="32"/>
          <w:szCs w:val="32"/>
          <w14:textFill>
            <w14:solidFill>
              <w14:schemeClr w14:val="tx1"/>
            </w14:solidFill>
          </w14:textFill>
        </w:rPr>
        <w:t>根据南京市义务教育招生信息化服务平台最终确认的录取信息，发放录取通知书。</w:t>
      </w:r>
    </w:p>
    <w:p w14:paraId="27EF2CD5">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未被录取的学生按照2026年南京市义务教育招生政策执行。</w:t>
      </w:r>
    </w:p>
    <w:p w14:paraId="70FE9854">
      <w:pPr>
        <w:spacing w:line="500" w:lineRule="exact"/>
        <w:ind w:firstLine="640" w:firstLineChars="200"/>
        <w:jc w:val="both"/>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五、监督投诉电话</w:t>
      </w:r>
      <w:r>
        <w:rPr>
          <w:rFonts w:hint="eastAsia" w:ascii="仿宋" w:hAnsi="仿宋" w:eastAsia="仿宋" w:cs="仿宋"/>
          <w:sz w:val="32"/>
          <w:szCs w:val="32"/>
          <w:lang w:val="en-US" w:eastAsia="zh-CN"/>
        </w:rPr>
        <w:t>：</w:t>
      </w:r>
      <w:r>
        <w:rPr>
          <w:rFonts w:hint="eastAsia" w:ascii="仿宋_GB2312" w:hAnsi="仿宋_GB2312" w:eastAsia="仿宋_GB2312" w:cs="仿宋_GB2312"/>
          <w:sz w:val="32"/>
          <w:szCs w:val="32"/>
        </w:rPr>
        <w:t>025-84416157</w:t>
      </w:r>
    </w:p>
    <w:p w14:paraId="55E97B4A">
      <w:pPr>
        <w:spacing w:line="500" w:lineRule="exact"/>
        <w:ind w:firstLine="3520" w:firstLineChars="1100"/>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32"/>
          <w:szCs w:val="32"/>
          <w:lang w:val="en-US" w:eastAsia="zh-CN"/>
        </w:rPr>
        <w:t>025-</w:t>
      </w:r>
      <w:r>
        <w:rPr>
          <w:rFonts w:hint="eastAsia" w:ascii="仿宋_GB2312" w:hAnsi="仿宋_GB2312" w:eastAsia="仿宋_GB2312" w:cs="仿宋_GB2312"/>
          <w:sz w:val="32"/>
          <w:szCs w:val="32"/>
        </w:rPr>
        <w:t>52602727</w:t>
      </w:r>
    </w:p>
    <w:p w14:paraId="24413960">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32"/>
          <w:szCs w:val="32"/>
        </w:rPr>
      </w:pPr>
    </w:p>
    <w:p w14:paraId="29841405">
      <w:pPr>
        <w:spacing w:line="500" w:lineRule="exact"/>
        <w:ind w:firstLine="640" w:firstLineChars="200"/>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7521CA34">
      <w:pPr>
        <w:spacing w:line="500" w:lineRule="exact"/>
        <w:ind w:firstLine="640" w:firstLineChars="200"/>
        <w:rPr>
          <w:rFonts w:ascii="仿宋" w:hAnsi="仿宋" w:eastAsia="仿宋" w:cs="仿宋"/>
          <w:sz w:val="32"/>
          <w:szCs w:val="32"/>
        </w:rPr>
      </w:pPr>
    </w:p>
    <w:p w14:paraId="44C1349A">
      <w:pPr>
        <w:spacing w:line="5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p>
    <w:p w14:paraId="3E676E20">
      <w:pPr>
        <w:spacing w:line="500" w:lineRule="exact"/>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（学生报名二维码）</w:t>
      </w:r>
    </w:p>
    <w:p w14:paraId="3DAB8B42">
      <w:pPr>
        <w:spacing w:line="500" w:lineRule="exact"/>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南京市第二十七初级中学</w:t>
      </w:r>
      <w:r>
        <w:rPr>
          <w:rFonts w:hint="eastAsia" w:ascii="仿宋_GB2312" w:hAnsi="仿宋_GB2312" w:eastAsia="仿宋_GB2312" w:cs="仿宋_GB2312"/>
          <w:color w:val="000000" w:themeColor="text1"/>
          <w:sz w:val="32"/>
          <w:szCs w:val="32"/>
          <w14:textFill>
            <w14:solidFill>
              <w14:schemeClr w14:val="tx1"/>
            </w14:solidFill>
          </w14:textFill>
        </w:rPr>
        <w:t>女子篮球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特定类型招生</w:t>
      </w:r>
      <w:r>
        <w:rPr>
          <w:rFonts w:hint="eastAsia" w:ascii="仿宋_GB2312" w:hAnsi="仿宋_GB2312" w:eastAsia="仿宋_GB2312" w:cs="仿宋_GB2312"/>
          <w:color w:val="000000" w:themeColor="text1"/>
          <w:sz w:val="32"/>
          <w:szCs w:val="32"/>
          <w14:textFill>
            <w14:solidFill>
              <w14:schemeClr w14:val="tx1"/>
            </w14:solidFill>
          </w14:textFill>
        </w:rPr>
        <w:t>考核评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分</w:t>
      </w:r>
      <w:r>
        <w:rPr>
          <w:rFonts w:hint="eastAsia" w:ascii="仿宋_GB2312" w:hAnsi="仿宋_GB2312" w:eastAsia="仿宋_GB2312" w:cs="仿宋_GB2312"/>
          <w:color w:val="000000" w:themeColor="text1"/>
          <w:sz w:val="32"/>
          <w:szCs w:val="32"/>
          <w14:textFill>
            <w14:solidFill>
              <w14:schemeClr w14:val="tx1"/>
            </w14:solidFill>
          </w14:textFill>
        </w:rPr>
        <w:t>标准</w:t>
      </w:r>
    </w:p>
    <w:p w14:paraId="2C34B8BB">
      <w:pPr>
        <w:spacing w:line="500" w:lineRule="exact"/>
        <w:jc w:val="both"/>
        <w:rPr>
          <w:rFonts w:hint="eastAsia" w:ascii="仿宋" w:hAnsi="仿宋" w:eastAsia="仿宋" w:cs="仿宋"/>
          <w:sz w:val="32"/>
          <w:szCs w:val="32"/>
          <w:lang w:val="en-US" w:eastAsia="zh-CN"/>
        </w:rPr>
      </w:pPr>
    </w:p>
    <w:p w14:paraId="3B6C075C">
      <w:pPr>
        <w:spacing w:line="500" w:lineRule="exact"/>
        <w:ind w:firstLine="3840" w:firstLineChars="1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南京市第二十七初级中学</w:t>
      </w:r>
    </w:p>
    <w:p w14:paraId="71F8C3F2">
      <w:pPr>
        <w:spacing w:line="500" w:lineRule="exact"/>
        <w:ind w:firstLine="3520" w:firstLineChars="1100"/>
        <w:jc w:val="both"/>
        <w:rPr>
          <w:rFonts w:ascii="仿宋" w:hAnsi="仿宋" w:eastAsia="仿宋" w:cs="仿宋"/>
          <w:sz w:val="32"/>
          <w:szCs w:val="32"/>
        </w:rPr>
      </w:pPr>
      <w:r>
        <w:rPr>
          <w:rFonts w:hint="eastAsia" w:ascii="仿宋" w:hAnsi="仿宋" w:eastAsia="仿宋" w:cs="仿宋"/>
          <w:sz w:val="32"/>
          <w:szCs w:val="32"/>
        </w:rPr>
        <w:t>女子篮球特定类型招生工作小组</w:t>
      </w:r>
    </w:p>
    <w:p w14:paraId="3503CA97">
      <w:pPr>
        <w:spacing w:line="500" w:lineRule="exact"/>
        <w:ind w:firstLine="640" w:firstLineChars="200"/>
        <w:jc w:val="center"/>
        <w:rPr>
          <w:rFonts w:ascii="仿宋" w:hAnsi="仿宋" w:eastAsia="仿宋" w:cs="仿宋"/>
          <w:sz w:val="32"/>
          <w:szCs w:val="32"/>
        </w:rPr>
      </w:pPr>
      <w:r>
        <w:rPr>
          <w:rFonts w:hint="eastAsia" w:ascii="仿宋" w:hAnsi="仿宋" w:eastAsia="仿宋" w:cs="仿宋"/>
          <w:sz w:val="32"/>
          <w:szCs w:val="32"/>
        </w:rPr>
        <w:t xml:space="preserve">                   2026年5月28日</w:t>
      </w:r>
    </w:p>
    <w:p w14:paraId="27343913">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eastAsia="zh-CN"/>
        </w:rPr>
        <w:t>：</w:t>
      </w:r>
    </w:p>
    <w:p w14:paraId="5FA1CCC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right="0" w:firstLine="0"/>
        <w:jc w:val="center"/>
        <w:textAlignment w:val="auto"/>
        <w:rPr>
          <w:rFonts w:hint="eastAsia" w:ascii="微软雅黑" w:hAnsi="微软雅黑" w:eastAsia="微软雅黑" w:cs="微软雅黑"/>
          <w:color w:val="000000" w:themeColor="text1"/>
          <w:sz w:val="44"/>
          <w:szCs w:val="44"/>
          <w:lang w:val="en-US" w:eastAsia="zh-CN"/>
          <w14:textFill>
            <w14:solidFill>
              <w14:schemeClr w14:val="tx1"/>
            </w14:solidFill>
          </w14:textFill>
        </w:rPr>
      </w:pPr>
      <w:r>
        <w:rPr>
          <w:rFonts w:hint="eastAsia" w:ascii="微软雅黑" w:hAnsi="微软雅黑" w:eastAsia="微软雅黑" w:cs="微软雅黑"/>
          <w:color w:val="000000" w:themeColor="text1"/>
          <w:sz w:val="44"/>
          <w:szCs w:val="44"/>
          <w:lang w:val="en-US" w:eastAsia="zh-CN"/>
          <w14:textFill>
            <w14:solidFill>
              <w14:schemeClr w14:val="tx1"/>
            </w14:solidFill>
          </w14:textFill>
        </w:rPr>
        <w:t>2026年南京市第二十七初级中学</w:t>
      </w:r>
    </w:p>
    <w:p w14:paraId="04B806B4">
      <w:pPr>
        <w:jc w:val="center"/>
        <w:rPr>
          <w:rFonts w:ascii="微软雅黑" w:hAnsi="微软雅黑" w:eastAsia="微软雅黑" w:cs="微软雅黑"/>
          <w:color w:val="FF0000"/>
          <w:sz w:val="44"/>
          <w:szCs w:val="44"/>
        </w:rPr>
      </w:pPr>
      <w:r>
        <w:rPr>
          <w:rFonts w:hint="eastAsia" w:ascii="微软雅黑" w:hAnsi="微软雅黑" w:eastAsia="微软雅黑" w:cs="微软雅黑"/>
          <w:color w:val="000000" w:themeColor="text1"/>
          <w:sz w:val="44"/>
          <w:szCs w:val="44"/>
          <w:lang w:val="en-US" w:eastAsia="zh-CN"/>
          <w14:textFill>
            <w14:solidFill>
              <w14:schemeClr w14:val="tx1"/>
            </w14:solidFill>
          </w14:textFill>
        </w:rPr>
        <w:t>女子篮球特定类型招生考核评分标准</w:t>
      </w:r>
    </w:p>
    <w:p w14:paraId="7EE0C572">
      <w:pPr>
        <w:spacing w:line="520" w:lineRule="exac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一、</w:t>
      </w:r>
      <w:r>
        <w:rPr>
          <w:rFonts w:hint="eastAsia" w:ascii="黑体" w:hAnsi="黑体" w:eastAsia="黑体" w:cs="黑体"/>
          <w:color w:val="000000" w:themeColor="text1"/>
          <w:sz w:val="28"/>
          <w:szCs w:val="28"/>
          <w:lang w:val="en-US" w:eastAsia="zh-CN"/>
          <w14:textFill>
            <w14:solidFill>
              <w14:schemeClr w14:val="tx1"/>
            </w14:solidFill>
          </w14:textFill>
        </w:rPr>
        <w:t>考核</w:t>
      </w:r>
      <w:r>
        <w:rPr>
          <w:rFonts w:hint="eastAsia" w:ascii="黑体" w:hAnsi="黑体" w:eastAsia="黑体" w:cs="黑体"/>
          <w:color w:val="000000" w:themeColor="text1"/>
          <w:sz w:val="28"/>
          <w:szCs w:val="28"/>
          <w14:textFill>
            <w14:solidFill>
              <w14:schemeClr w14:val="tx1"/>
            </w14:solidFill>
          </w14:textFill>
        </w:rPr>
        <w:t>内容及评分标准</w:t>
      </w:r>
    </w:p>
    <w:p w14:paraId="0C215529">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1、测试指标及所占比例</w:t>
      </w:r>
    </w:p>
    <w:tbl>
      <w:tblPr>
        <w:tblStyle w:val="6"/>
        <w:tblW w:w="9900" w:type="dxa"/>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0"/>
        <w:gridCol w:w="1741"/>
        <w:gridCol w:w="1740"/>
        <w:gridCol w:w="2004"/>
        <w:gridCol w:w="2055"/>
      </w:tblGrid>
      <w:tr w14:paraId="29F9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2360" w:type="dxa"/>
            <w:shd w:val="clear" w:color="auto" w:fill="FFFFFF"/>
            <w:vAlign w:val="center"/>
          </w:tcPr>
          <w:p w14:paraId="4BE4323F">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类别</w:t>
            </w:r>
          </w:p>
        </w:tc>
        <w:tc>
          <w:tcPr>
            <w:tcW w:w="1741" w:type="dxa"/>
          </w:tcPr>
          <w:p w14:paraId="426B5BEE">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身体形态</w:t>
            </w:r>
          </w:p>
        </w:tc>
        <w:tc>
          <w:tcPr>
            <w:tcW w:w="1740" w:type="dxa"/>
          </w:tcPr>
          <w:p w14:paraId="226A6B77">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身体素质</w:t>
            </w:r>
          </w:p>
        </w:tc>
        <w:tc>
          <w:tcPr>
            <w:tcW w:w="2004" w:type="dxa"/>
          </w:tcPr>
          <w:p w14:paraId="393F9DDE">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基本技术</w:t>
            </w:r>
          </w:p>
        </w:tc>
        <w:tc>
          <w:tcPr>
            <w:tcW w:w="2055" w:type="dxa"/>
          </w:tcPr>
          <w:p w14:paraId="1E3B890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实战能力</w:t>
            </w:r>
          </w:p>
        </w:tc>
      </w:tr>
      <w:tr w14:paraId="0608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360" w:type="dxa"/>
            <w:shd w:val="clear" w:color="auto" w:fill="FFFFFF"/>
            <w:vAlign w:val="center"/>
          </w:tcPr>
          <w:p w14:paraId="26C98DE8">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指标</w:t>
            </w:r>
          </w:p>
        </w:tc>
        <w:tc>
          <w:tcPr>
            <w:tcW w:w="1741" w:type="dxa"/>
          </w:tcPr>
          <w:p w14:paraId="26FF3714">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身高</w:t>
            </w:r>
          </w:p>
          <w:p w14:paraId="31E2D192">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臂展</w:t>
            </w:r>
          </w:p>
        </w:tc>
        <w:tc>
          <w:tcPr>
            <w:tcW w:w="1740" w:type="dxa"/>
          </w:tcPr>
          <w:p w14:paraId="12AE7635">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立定跳远</w:t>
            </w:r>
          </w:p>
          <w:p w14:paraId="03DB4DCF">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跳绳双飞</w:t>
            </w:r>
          </w:p>
        </w:tc>
        <w:tc>
          <w:tcPr>
            <w:tcW w:w="2004" w:type="dxa"/>
          </w:tcPr>
          <w:p w14:paraId="27BB727E">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1分钟投篮</w:t>
            </w:r>
          </w:p>
          <w:p w14:paraId="7B361833">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全场运球跑篮</w:t>
            </w:r>
          </w:p>
        </w:tc>
        <w:tc>
          <w:tcPr>
            <w:tcW w:w="2055" w:type="dxa"/>
          </w:tcPr>
          <w:p w14:paraId="79CEC382">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技术水平</w:t>
            </w:r>
          </w:p>
          <w:p w14:paraId="1726973B">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战术意识</w:t>
            </w:r>
          </w:p>
        </w:tc>
      </w:tr>
      <w:tr w14:paraId="45F9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2360" w:type="dxa"/>
          </w:tcPr>
          <w:p w14:paraId="13147FAD">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所占比例</w:t>
            </w:r>
          </w:p>
        </w:tc>
        <w:tc>
          <w:tcPr>
            <w:tcW w:w="1741" w:type="dxa"/>
          </w:tcPr>
          <w:p w14:paraId="59357DD3">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10%</w:t>
            </w:r>
          </w:p>
        </w:tc>
        <w:tc>
          <w:tcPr>
            <w:tcW w:w="1740" w:type="dxa"/>
          </w:tcPr>
          <w:p w14:paraId="187F9454">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30%</w:t>
            </w:r>
          </w:p>
        </w:tc>
        <w:tc>
          <w:tcPr>
            <w:tcW w:w="2004" w:type="dxa"/>
          </w:tcPr>
          <w:p w14:paraId="63085D00">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30%</w:t>
            </w:r>
          </w:p>
        </w:tc>
        <w:tc>
          <w:tcPr>
            <w:tcW w:w="2055" w:type="dxa"/>
          </w:tcPr>
          <w:p w14:paraId="6009D0DB">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30%</w:t>
            </w:r>
          </w:p>
        </w:tc>
      </w:tr>
    </w:tbl>
    <w:p w14:paraId="15957E78">
      <w:pPr>
        <w:spacing w:line="20" w:lineRule="exact"/>
        <w:rPr>
          <w:rFonts w:ascii="仿宋_GB2312" w:hAnsi="仿宋_GB2312" w:eastAsia="仿宋_GB2312" w:cs="仿宋_GB2312"/>
          <w:color w:val="000000" w:themeColor="text1"/>
          <w:sz w:val="28"/>
          <w:szCs w:val="28"/>
          <w14:textFill>
            <w14:solidFill>
              <w14:schemeClr w14:val="tx1"/>
            </w14:solidFill>
          </w14:textFill>
        </w:rPr>
      </w:pPr>
    </w:p>
    <w:tbl>
      <w:tblPr>
        <w:tblStyle w:val="6"/>
        <w:tblpPr w:leftFromText="180" w:rightFromText="180" w:vertAnchor="text" w:horzAnchor="page" w:tblpXSpec="center" w:tblpY="1163"/>
        <w:tblOverlap w:val="never"/>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1650"/>
        <w:gridCol w:w="1605"/>
        <w:gridCol w:w="1590"/>
        <w:gridCol w:w="1605"/>
        <w:gridCol w:w="1620"/>
      </w:tblGrid>
      <w:tr w14:paraId="06CB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852" w:type="dxa"/>
          </w:tcPr>
          <w:p w14:paraId="427CBDEF">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10分</w:t>
            </w:r>
          </w:p>
        </w:tc>
        <w:tc>
          <w:tcPr>
            <w:tcW w:w="1650" w:type="dxa"/>
          </w:tcPr>
          <w:p w14:paraId="5D5A3203">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8分</w:t>
            </w:r>
          </w:p>
        </w:tc>
        <w:tc>
          <w:tcPr>
            <w:tcW w:w="1605" w:type="dxa"/>
          </w:tcPr>
          <w:p w14:paraId="58D0E7A5">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6分</w:t>
            </w:r>
          </w:p>
        </w:tc>
        <w:tc>
          <w:tcPr>
            <w:tcW w:w="1590" w:type="dxa"/>
          </w:tcPr>
          <w:p w14:paraId="5D0ECA6E">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4分</w:t>
            </w:r>
          </w:p>
        </w:tc>
        <w:tc>
          <w:tcPr>
            <w:tcW w:w="1605" w:type="dxa"/>
          </w:tcPr>
          <w:p w14:paraId="7DA7941B">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3分</w:t>
            </w:r>
          </w:p>
        </w:tc>
        <w:tc>
          <w:tcPr>
            <w:tcW w:w="1620" w:type="dxa"/>
          </w:tcPr>
          <w:p w14:paraId="1F0FA3D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2分</w:t>
            </w:r>
          </w:p>
        </w:tc>
      </w:tr>
      <w:tr w14:paraId="4544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852" w:type="dxa"/>
          </w:tcPr>
          <w:p w14:paraId="05C21FA1">
            <w:pPr>
              <w:spacing w:line="52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3.3米及以上</w:t>
            </w:r>
          </w:p>
        </w:tc>
        <w:tc>
          <w:tcPr>
            <w:tcW w:w="1650" w:type="dxa"/>
          </w:tcPr>
          <w:p w14:paraId="2A881F45">
            <w:pPr>
              <w:spacing w:line="52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3.2米及以上</w:t>
            </w:r>
          </w:p>
        </w:tc>
        <w:tc>
          <w:tcPr>
            <w:tcW w:w="1605" w:type="dxa"/>
          </w:tcPr>
          <w:p w14:paraId="756E8750">
            <w:pPr>
              <w:spacing w:line="52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3.1米及以上</w:t>
            </w:r>
          </w:p>
        </w:tc>
        <w:tc>
          <w:tcPr>
            <w:tcW w:w="1590" w:type="dxa"/>
          </w:tcPr>
          <w:p w14:paraId="5B2ABC1A">
            <w:pPr>
              <w:spacing w:line="52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3.0米及以上</w:t>
            </w:r>
          </w:p>
        </w:tc>
        <w:tc>
          <w:tcPr>
            <w:tcW w:w="1605" w:type="dxa"/>
          </w:tcPr>
          <w:p w14:paraId="3CF1ED6A">
            <w:pPr>
              <w:spacing w:line="52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2.9米及以上</w:t>
            </w:r>
          </w:p>
        </w:tc>
        <w:tc>
          <w:tcPr>
            <w:tcW w:w="1620" w:type="dxa"/>
          </w:tcPr>
          <w:p w14:paraId="5BCD75A6">
            <w:pPr>
              <w:spacing w:line="52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2.8米及以上</w:t>
            </w:r>
          </w:p>
        </w:tc>
      </w:tr>
    </w:tbl>
    <w:p w14:paraId="4BC5182E">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2、测试方法与评分标准</w:t>
      </w:r>
    </w:p>
    <w:p w14:paraId="7B09BE48">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（1）身高和臂展。测试方法：身高和臂展相加并排名。（10分）</w:t>
      </w:r>
    </w:p>
    <w:p w14:paraId="0479F528">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（2）立定跳远测试。每人测试三次，计其中一次最佳成绩。（15分）</w:t>
      </w:r>
    </w:p>
    <w:tbl>
      <w:tblPr>
        <w:tblStyle w:val="6"/>
        <w:tblW w:w="9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207"/>
        <w:gridCol w:w="1207"/>
        <w:gridCol w:w="1207"/>
        <w:gridCol w:w="1207"/>
        <w:gridCol w:w="1207"/>
        <w:gridCol w:w="1207"/>
        <w:gridCol w:w="1288"/>
      </w:tblGrid>
      <w:tr w14:paraId="0986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207" w:type="dxa"/>
          </w:tcPr>
          <w:p w14:paraId="102F44FB">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1.9米（含）以上</w:t>
            </w:r>
          </w:p>
        </w:tc>
        <w:tc>
          <w:tcPr>
            <w:tcW w:w="1207" w:type="dxa"/>
          </w:tcPr>
          <w:p w14:paraId="22E164F3">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1.85米（含）以上</w:t>
            </w:r>
          </w:p>
        </w:tc>
        <w:tc>
          <w:tcPr>
            <w:tcW w:w="1207" w:type="dxa"/>
          </w:tcPr>
          <w:p w14:paraId="00D93291">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1.80米（含）以上</w:t>
            </w:r>
          </w:p>
        </w:tc>
        <w:tc>
          <w:tcPr>
            <w:tcW w:w="1207" w:type="dxa"/>
          </w:tcPr>
          <w:p w14:paraId="28AC9D23">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1.75米（含）以上</w:t>
            </w:r>
          </w:p>
        </w:tc>
        <w:tc>
          <w:tcPr>
            <w:tcW w:w="1207" w:type="dxa"/>
          </w:tcPr>
          <w:p w14:paraId="20CEAA51">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1.7米（含）以上</w:t>
            </w:r>
          </w:p>
        </w:tc>
        <w:tc>
          <w:tcPr>
            <w:tcW w:w="1207" w:type="dxa"/>
          </w:tcPr>
          <w:p w14:paraId="31EB3349">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1.65米（含）以上</w:t>
            </w:r>
          </w:p>
        </w:tc>
        <w:tc>
          <w:tcPr>
            <w:tcW w:w="1207" w:type="dxa"/>
          </w:tcPr>
          <w:p w14:paraId="321D3EC7">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1.60米（含）以上</w:t>
            </w:r>
          </w:p>
        </w:tc>
        <w:tc>
          <w:tcPr>
            <w:tcW w:w="1288" w:type="dxa"/>
          </w:tcPr>
          <w:p w14:paraId="16620CD3">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1.55米</w:t>
            </w:r>
          </w:p>
          <w:p w14:paraId="58440037">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以下</w:t>
            </w:r>
          </w:p>
        </w:tc>
      </w:tr>
      <w:tr w14:paraId="0121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207" w:type="dxa"/>
          </w:tcPr>
          <w:p w14:paraId="3BA854DA">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15分</w:t>
            </w:r>
          </w:p>
        </w:tc>
        <w:tc>
          <w:tcPr>
            <w:tcW w:w="1207" w:type="dxa"/>
          </w:tcPr>
          <w:p w14:paraId="75E61EA2">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12分</w:t>
            </w:r>
          </w:p>
        </w:tc>
        <w:tc>
          <w:tcPr>
            <w:tcW w:w="1207" w:type="dxa"/>
          </w:tcPr>
          <w:p w14:paraId="1C65BE79">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10分</w:t>
            </w:r>
          </w:p>
        </w:tc>
        <w:tc>
          <w:tcPr>
            <w:tcW w:w="1207" w:type="dxa"/>
          </w:tcPr>
          <w:p w14:paraId="08E43208">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8分</w:t>
            </w:r>
          </w:p>
        </w:tc>
        <w:tc>
          <w:tcPr>
            <w:tcW w:w="1207" w:type="dxa"/>
          </w:tcPr>
          <w:p w14:paraId="005CE653">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6分</w:t>
            </w:r>
          </w:p>
        </w:tc>
        <w:tc>
          <w:tcPr>
            <w:tcW w:w="1207" w:type="dxa"/>
          </w:tcPr>
          <w:p w14:paraId="6DCE78DD">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4分</w:t>
            </w:r>
          </w:p>
        </w:tc>
        <w:tc>
          <w:tcPr>
            <w:tcW w:w="1207" w:type="dxa"/>
          </w:tcPr>
          <w:p w14:paraId="30BDA96F">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3分</w:t>
            </w:r>
          </w:p>
        </w:tc>
        <w:tc>
          <w:tcPr>
            <w:tcW w:w="1288" w:type="dxa"/>
          </w:tcPr>
          <w:p w14:paraId="7328DC6D">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2分</w:t>
            </w:r>
          </w:p>
        </w:tc>
      </w:tr>
    </w:tbl>
    <w:p w14:paraId="08E27948">
      <w:pPr>
        <w:spacing w:line="520" w:lineRule="exact"/>
        <w:jc w:val="lef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（3）跳绳双飞测试：一分钟计时跳绳，腾空一次，绳子揺两下算一个。（15分）</w:t>
      </w:r>
    </w:p>
    <w:tbl>
      <w:tblPr>
        <w:tblStyle w:val="6"/>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400"/>
        <w:gridCol w:w="1400"/>
        <w:gridCol w:w="1400"/>
        <w:gridCol w:w="1400"/>
        <w:gridCol w:w="1400"/>
        <w:gridCol w:w="1400"/>
      </w:tblGrid>
      <w:tr w14:paraId="172A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400" w:type="dxa"/>
          </w:tcPr>
          <w:p w14:paraId="4429FC53">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50个（含）</w:t>
            </w:r>
          </w:p>
          <w:p w14:paraId="50F1CE4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以上</w:t>
            </w:r>
          </w:p>
        </w:tc>
        <w:tc>
          <w:tcPr>
            <w:tcW w:w="1400" w:type="dxa"/>
          </w:tcPr>
          <w:p w14:paraId="14B2C71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45个（含）</w:t>
            </w:r>
          </w:p>
          <w:p w14:paraId="12B7D473">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以上</w:t>
            </w:r>
          </w:p>
        </w:tc>
        <w:tc>
          <w:tcPr>
            <w:tcW w:w="1400" w:type="dxa"/>
          </w:tcPr>
          <w:p w14:paraId="12DBAFB3">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40个（含）</w:t>
            </w:r>
          </w:p>
          <w:p w14:paraId="3CDD3050">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以上</w:t>
            </w:r>
          </w:p>
        </w:tc>
        <w:tc>
          <w:tcPr>
            <w:tcW w:w="1400" w:type="dxa"/>
          </w:tcPr>
          <w:p w14:paraId="4F8E58CD">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35个（含）</w:t>
            </w:r>
          </w:p>
          <w:p w14:paraId="0877ED3E">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以上</w:t>
            </w:r>
          </w:p>
        </w:tc>
        <w:tc>
          <w:tcPr>
            <w:tcW w:w="1400" w:type="dxa"/>
          </w:tcPr>
          <w:p w14:paraId="700E6942">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30个（含）</w:t>
            </w:r>
          </w:p>
          <w:p w14:paraId="4D2D3F55">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以上</w:t>
            </w:r>
          </w:p>
        </w:tc>
        <w:tc>
          <w:tcPr>
            <w:tcW w:w="1400" w:type="dxa"/>
          </w:tcPr>
          <w:p w14:paraId="1E61201F">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25个（含）</w:t>
            </w:r>
          </w:p>
          <w:p w14:paraId="5DAB20FE">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以上</w:t>
            </w:r>
          </w:p>
        </w:tc>
        <w:tc>
          <w:tcPr>
            <w:tcW w:w="1400" w:type="dxa"/>
          </w:tcPr>
          <w:p w14:paraId="6CA690D5">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20个</w:t>
            </w:r>
          </w:p>
          <w:p w14:paraId="749F0C71">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以下</w:t>
            </w:r>
          </w:p>
        </w:tc>
      </w:tr>
      <w:tr w14:paraId="4260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00" w:type="dxa"/>
          </w:tcPr>
          <w:p w14:paraId="17773ECB">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15分</w:t>
            </w:r>
          </w:p>
        </w:tc>
        <w:tc>
          <w:tcPr>
            <w:tcW w:w="1400" w:type="dxa"/>
          </w:tcPr>
          <w:p w14:paraId="4CD32355">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12分</w:t>
            </w:r>
          </w:p>
        </w:tc>
        <w:tc>
          <w:tcPr>
            <w:tcW w:w="1400" w:type="dxa"/>
          </w:tcPr>
          <w:p w14:paraId="1B7189A7">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10分</w:t>
            </w:r>
          </w:p>
        </w:tc>
        <w:tc>
          <w:tcPr>
            <w:tcW w:w="1400" w:type="dxa"/>
          </w:tcPr>
          <w:p w14:paraId="1CBC40D8">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8分</w:t>
            </w:r>
          </w:p>
        </w:tc>
        <w:tc>
          <w:tcPr>
            <w:tcW w:w="1400" w:type="dxa"/>
          </w:tcPr>
          <w:p w14:paraId="7B6091F8">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6分</w:t>
            </w:r>
          </w:p>
        </w:tc>
        <w:tc>
          <w:tcPr>
            <w:tcW w:w="1400" w:type="dxa"/>
          </w:tcPr>
          <w:p w14:paraId="14466D20">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4分</w:t>
            </w:r>
          </w:p>
        </w:tc>
        <w:tc>
          <w:tcPr>
            <w:tcW w:w="1400" w:type="dxa"/>
          </w:tcPr>
          <w:p w14:paraId="3D57FE7C">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3分</w:t>
            </w:r>
          </w:p>
        </w:tc>
      </w:tr>
    </w:tbl>
    <w:p w14:paraId="5BF05730">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（4）一分钟自投自抢测试方法：以篮圈中心投影点为中心，5.8米为半径画弧，考生在弧线外进行1分钟自投自抢，投篮方式不限，记投中次数。每人测两次，记其中一次最佳成绩。（15分）</w:t>
      </w:r>
    </w:p>
    <w:tbl>
      <w:tblPr>
        <w:tblStyle w:val="6"/>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176"/>
        <w:gridCol w:w="1176"/>
        <w:gridCol w:w="1176"/>
        <w:gridCol w:w="1176"/>
        <w:gridCol w:w="1176"/>
        <w:gridCol w:w="1176"/>
        <w:gridCol w:w="1182"/>
      </w:tblGrid>
      <w:tr w14:paraId="1E17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540" w:type="dxa"/>
          </w:tcPr>
          <w:p w14:paraId="7733D561">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8个（含）以上</w:t>
            </w:r>
          </w:p>
        </w:tc>
        <w:tc>
          <w:tcPr>
            <w:tcW w:w="1176" w:type="dxa"/>
          </w:tcPr>
          <w:p w14:paraId="653A00E8">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7个</w:t>
            </w:r>
          </w:p>
        </w:tc>
        <w:tc>
          <w:tcPr>
            <w:tcW w:w="1176" w:type="dxa"/>
          </w:tcPr>
          <w:p w14:paraId="3B3E9218">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6个</w:t>
            </w:r>
          </w:p>
        </w:tc>
        <w:tc>
          <w:tcPr>
            <w:tcW w:w="1176" w:type="dxa"/>
          </w:tcPr>
          <w:p w14:paraId="4B718827">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5个</w:t>
            </w:r>
          </w:p>
        </w:tc>
        <w:tc>
          <w:tcPr>
            <w:tcW w:w="1176" w:type="dxa"/>
          </w:tcPr>
          <w:p w14:paraId="70966B90">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4个</w:t>
            </w:r>
          </w:p>
        </w:tc>
        <w:tc>
          <w:tcPr>
            <w:tcW w:w="1176" w:type="dxa"/>
          </w:tcPr>
          <w:p w14:paraId="1CAD0029">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3个</w:t>
            </w:r>
          </w:p>
        </w:tc>
        <w:tc>
          <w:tcPr>
            <w:tcW w:w="1176" w:type="dxa"/>
          </w:tcPr>
          <w:p w14:paraId="694DB0B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2个</w:t>
            </w:r>
          </w:p>
        </w:tc>
        <w:tc>
          <w:tcPr>
            <w:tcW w:w="1182" w:type="dxa"/>
          </w:tcPr>
          <w:p w14:paraId="0DC2FAE0">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1个</w:t>
            </w:r>
          </w:p>
        </w:tc>
      </w:tr>
      <w:tr w14:paraId="2CD0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540" w:type="dxa"/>
          </w:tcPr>
          <w:p w14:paraId="1A67E98C">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15分</w:t>
            </w:r>
          </w:p>
        </w:tc>
        <w:tc>
          <w:tcPr>
            <w:tcW w:w="1176" w:type="dxa"/>
          </w:tcPr>
          <w:p w14:paraId="3CD9E49A">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12分</w:t>
            </w:r>
          </w:p>
        </w:tc>
        <w:tc>
          <w:tcPr>
            <w:tcW w:w="1176" w:type="dxa"/>
          </w:tcPr>
          <w:p w14:paraId="595821E1">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10分</w:t>
            </w:r>
          </w:p>
        </w:tc>
        <w:tc>
          <w:tcPr>
            <w:tcW w:w="1176" w:type="dxa"/>
          </w:tcPr>
          <w:p w14:paraId="78C2010E">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8分</w:t>
            </w:r>
          </w:p>
        </w:tc>
        <w:tc>
          <w:tcPr>
            <w:tcW w:w="1176" w:type="dxa"/>
          </w:tcPr>
          <w:p w14:paraId="2AF7E45D">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6分</w:t>
            </w:r>
          </w:p>
        </w:tc>
        <w:tc>
          <w:tcPr>
            <w:tcW w:w="1176" w:type="dxa"/>
          </w:tcPr>
          <w:p w14:paraId="78607C0F">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4分</w:t>
            </w:r>
          </w:p>
        </w:tc>
        <w:tc>
          <w:tcPr>
            <w:tcW w:w="1176" w:type="dxa"/>
          </w:tcPr>
          <w:p w14:paraId="407DCDE0">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3分</w:t>
            </w:r>
          </w:p>
        </w:tc>
        <w:tc>
          <w:tcPr>
            <w:tcW w:w="1182" w:type="dxa"/>
          </w:tcPr>
          <w:p w14:paraId="4801917F">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2分</w:t>
            </w:r>
          </w:p>
        </w:tc>
      </w:tr>
    </w:tbl>
    <w:p w14:paraId="364EA52E">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（5）全场8字运球上篮跑篮，不进罚2秒。</w:t>
      </w:r>
    </w:p>
    <w:p w14:paraId="5B585D86">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测试方法：测试者在球场端线中点站立，面向前场，运球依次绕过以罚球线为直径的圆，中圈和前场以罚球线为直径的圆，跑篮跑进，出底线再次运球绕过三个圆跑篮跑进，计时结束。（15分）</w:t>
      </w:r>
    </w:p>
    <w:tbl>
      <w:tblPr>
        <w:tblStyle w:val="6"/>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1641"/>
        <w:gridCol w:w="1641"/>
        <w:gridCol w:w="1641"/>
        <w:gridCol w:w="1641"/>
        <w:gridCol w:w="1573"/>
      </w:tblGrid>
      <w:tr w14:paraId="4457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41" w:type="dxa"/>
          </w:tcPr>
          <w:p w14:paraId="298F3DEB">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17秒以内</w:t>
            </w:r>
          </w:p>
        </w:tc>
        <w:tc>
          <w:tcPr>
            <w:tcW w:w="1641" w:type="dxa"/>
          </w:tcPr>
          <w:p w14:paraId="68126E3D">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17-18秒</w:t>
            </w:r>
          </w:p>
        </w:tc>
        <w:tc>
          <w:tcPr>
            <w:tcW w:w="1641" w:type="dxa"/>
          </w:tcPr>
          <w:p w14:paraId="256750FD">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18-19秒</w:t>
            </w:r>
          </w:p>
        </w:tc>
        <w:tc>
          <w:tcPr>
            <w:tcW w:w="1641" w:type="dxa"/>
          </w:tcPr>
          <w:p w14:paraId="00E69235">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19-20秒</w:t>
            </w:r>
          </w:p>
        </w:tc>
        <w:tc>
          <w:tcPr>
            <w:tcW w:w="1641" w:type="dxa"/>
          </w:tcPr>
          <w:p w14:paraId="66E05749">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20-21秒</w:t>
            </w:r>
          </w:p>
        </w:tc>
        <w:tc>
          <w:tcPr>
            <w:tcW w:w="1573" w:type="dxa"/>
          </w:tcPr>
          <w:p w14:paraId="7225DF22">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21秒以上</w:t>
            </w:r>
          </w:p>
        </w:tc>
      </w:tr>
      <w:tr w14:paraId="6787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41" w:type="dxa"/>
          </w:tcPr>
          <w:p w14:paraId="137455F6">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15分</w:t>
            </w:r>
          </w:p>
        </w:tc>
        <w:tc>
          <w:tcPr>
            <w:tcW w:w="1641" w:type="dxa"/>
          </w:tcPr>
          <w:p w14:paraId="70592D7F">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12分</w:t>
            </w:r>
          </w:p>
        </w:tc>
        <w:tc>
          <w:tcPr>
            <w:tcW w:w="1641" w:type="dxa"/>
          </w:tcPr>
          <w:p w14:paraId="05419DB2">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10分</w:t>
            </w:r>
          </w:p>
        </w:tc>
        <w:tc>
          <w:tcPr>
            <w:tcW w:w="1641" w:type="dxa"/>
          </w:tcPr>
          <w:p w14:paraId="44F14018">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8分</w:t>
            </w:r>
          </w:p>
        </w:tc>
        <w:tc>
          <w:tcPr>
            <w:tcW w:w="1641" w:type="dxa"/>
          </w:tcPr>
          <w:p w14:paraId="09624A60">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6分</w:t>
            </w:r>
          </w:p>
        </w:tc>
        <w:tc>
          <w:tcPr>
            <w:tcW w:w="1573" w:type="dxa"/>
          </w:tcPr>
          <w:p w14:paraId="74565213">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4分</w:t>
            </w:r>
          </w:p>
        </w:tc>
      </w:tr>
    </w:tbl>
    <w:p w14:paraId="1B1AC19A">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（6）技术规格及运用</w:t>
      </w:r>
    </w:p>
    <w:p w14:paraId="0777C818">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测试方法：抽签，将考生分成不同队伍进行比赛，由考评员按标准独自评分，去掉最高分与最低分后，取平均分为最后得分。（15分）</w:t>
      </w:r>
    </w:p>
    <w:tbl>
      <w:tblPr>
        <w:tblStyle w:val="6"/>
        <w:tblW w:w="9795" w:type="dxa"/>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2100"/>
        <w:gridCol w:w="2115"/>
        <w:gridCol w:w="1965"/>
        <w:gridCol w:w="2010"/>
      </w:tblGrid>
      <w:tr w14:paraId="60D0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5719C8C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项目、分值</w:t>
            </w:r>
          </w:p>
        </w:tc>
        <w:tc>
          <w:tcPr>
            <w:tcW w:w="2100" w:type="dxa"/>
          </w:tcPr>
          <w:p w14:paraId="39A9C714">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优15-13</w:t>
            </w:r>
          </w:p>
        </w:tc>
        <w:tc>
          <w:tcPr>
            <w:tcW w:w="2115" w:type="dxa"/>
          </w:tcPr>
          <w:p w14:paraId="02C8743E">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良12-10</w:t>
            </w:r>
          </w:p>
        </w:tc>
        <w:tc>
          <w:tcPr>
            <w:tcW w:w="1965" w:type="dxa"/>
          </w:tcPr>
          <w:p w14:paraId="0EC3C7A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中10-8</w:t>
            </w:r>
          </w:p>
        </w:tc>
        <w:tc>
          <w:tcPr>
            <w:tcW w:w="2010" w:type="dxa"/>
          </w:tcPr>
          <w:p w14:paraId="6F295714">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劣8分以下</w:t>
            </w:r>
          </w:p>
        </w:tc>
      </w:tr>
      <w:tr w14:paraId="5A6F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Align w:val="center"/>
          </w:tcPr>
          <w:p w14:paraId="72FD28AE">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评分标准</w:t>
            </w:r>
          </w:p>
        </w:tc>
        <w:tc>
          <w:tcPr>
            <w:tcW w:w="2100" w:type="dxa"/>
            <w:vAlign w:val="center"/>
          </w:tcPr>
          <w:p w14:paraId="0DAE9B5B">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技术规范，技术运用合理、运用</w:t>
            </w:r>
          </w:p>
          <w:p w14:paraId="2465A9B1">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效果好</w:t>
            </w:r>
          </w:p>
        </w:tc>
        <w:tc>
          <w:tcPr>
            <w:tcW w:w="2115" w:type="dxa"/>
            <w:vAlign w:val="center"/>
          </w:tcPr>
          <w:p w14:paraId="7E90559A">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技术较规范，技术运用较合理、运用效果较好</w:t>
            </w:r>
          </w:p>
        </w:tc>
        <w:tc>
          <w:tcPr>
            <w:tcW w:w="1965" w:type="dxa"/>
            <w:vAlign w:val="center"/>
          </w:tcPr>
          <w:p w14:paraId="17D8F092">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技术一般，技术运用基本合</w:t>
            </w:r>
          </w:p>
          <w:p w14:paraId="64C34040">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理、运用效果一般</w:t>
            </w:r>
          </w:p>
        </w:tc>
        <w:tc>
          <w:tcPr>
            <w:tcW w:w="2010" w:type="dxa"/>
            <w:vAlign w:val="center"/>
          </w:tcPr>
          <w:p w14:paraId="33FEB8B3">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技术不规范，技术运用不合</w:t>
            </w:r>
          </w:p>
          <w:p w14:paraId="30941BD9">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理、运用效果差</w:t>
            </w:r>
          </w:p>
        </w:tc>
      </w:tr>
    </w:tbl>
    <w:p w14:paraId="3F9A44E6">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（7）战术意识</w:t>
      </w:r>
    </w:p>
    <w:p w14:paraId="37E365E7">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测试方法：同技术运用评分定法。（15分）</w:t>
      </w:r>
    </w:p>
    <w:tbl>
      <w:tblPr>
        <w:tblStyle w:val="6"/>
        <w:tblW w:w="97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1815"/>
        <w:gridCol w:w="2070"/>
        <w:gridCol w:w="2160"/>
        <w:gridCol w:w="2025"/>
      </w:tblGrid>
      <w:tr w14:paraId="5763C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09FB7BFC">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项目、分值</w:t>
            </w:r>
          </w:p>
        </w:tc>
        <w:tc>
          <w:tcPr>
            <w:tcW w:w="1815" w:type="dxa"/>
            <w:vAlign w:val="center"/>
          </w:tcPr>
          <w:p w14:paraId="2E108C28">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优15-13</w:t>
            </w:r>
          </w:p>
        </w:tc>
        <w:tc>
          <w:tcPr>
            <w:tcW w:w="2070" w:type="dxa"/>
            <w:vAlign w:val="center"/>
          </w:tcPr>
          <w:p w14:paraId="736F8ED0">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良12-10</w:t>
            </w:r>
          </w:p>
        </w:tc>
        <w:tc>
          <w:tcPr>
            <w:tcW w:w="2160" w:type="dxa"/>
            <w:vAlign w:val="center"/>
          </w:tcPr>
          <w:p w14:paraId="5DF472BA">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中10-8</w:t>
            </w:r>
          </w:p>
        </w:tc>
        <w:tc>
          <w:tcPr>
            <w:tcW w:w="2025" w:type="dxa"/>
            <w:vAlign w:val="center"/>
          </w:tcPr>
          <w:p w14:paraId="51E6C898">
            <w:pPr>
              <w:spacing w:line="520" w:lineRule="exact"/>
              <w:jc w:val="center"/>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劣8分以下</w:t>
            </w:r>
          </w:p>
        </w:tc>
      </w:tr>
      <w:tr w14:paraId="2EF8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6F30BF83">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评分标准</w:t>
            </w:r>
          </w:p>
        </w:tc>
        <w:tc>
          <w:tcPr>
            <w:tcW w:w="1815" w:type="dxa"/>
            <w:vAlign w:val="center"/>
          </w:tcPr>
          <w:p w14:paraId="00B25731">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战术意识好，</w:t>
            </w:r>
          </w:p>
          <w:p w14:paraId="01D1B55C">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运用合理</w:t>
            </w:r>
          </w:p>
        </w:tc>
        <w:tc>
          <w:tcPr>
            <w:tcW w:w="2070" w:type="dxa"/>
            <w:vAlign w:val="center"/>
          </w:tcPr>
          <w:p w14:paraId="3D51B7BD">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战术意识较好，运用效果较好</w:t>
            </w:r>
          </w:p>
        </w:tc>
        <w:tc>
          <w:tcPr>
            <w:tcW w:w="2160" w:type="dxa"/>
            <w:vAlign w:val="center"/>
          </w:tcPr>
          <w:p w14:paraId="360CF322">
            <w:pPr>
              <w:spacing w:line="520" w:lineRule="exact"/>
              <w:jc w:val="lef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战术意识合理，运用效果一般</w:t>
            </w:r>
          </w:p>
        </w:tc>
        <w:tc>
          <w:tcPr>
            <w:tcW w:w="2025" w:type="dxa"/>
            <w:vAlign w:val="center"/>
          </w:tcPr>
          <w:p w14:paraId="7BBE9941">
            <w:pPr>
              <w:spacing w:line="52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战术意识好，</w:t>
            </w:r>
          </w:p>
          <w:p w14:paraId="4DECAFD9">
            <w:pPr>
              <w:spacing w:line="52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运用效果差</w:t>
            </w:r>
          </w:p>
        </w:tc>
      </w:tr>
    </w:tbl>
    <w:p w14:paraId="62AE13DF">
      <w:pPr>
        <w:keepNext w:val="0"/>
        <w:keepLines w:val="0"/>
        <w:pageBreakBefore w:val="0"/>
        <w:widowControl w:val="0"/>
        <w:kinsoku/>
        <w:wordWrap/>
        <w:overflowPunct/>
        <w:topLinePunct w:val="0"/>
        <w:autoSpaceDE/>
        <w:autoSpaceDN/>
        <w:bidi w:val="0"/>
        <w:adjustRightInd/>
        <w:snapToGrid/>
        <w:spacing w:line="520" w:lineRule="exact"/>
        <w:textAlignment w:val="auto"/>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二、</w:t>
      </w:r>
      <w:r>
        <w:rPr>
          <w:rFonts w:hint="eastAsia" w:ascii="黑体" w:hAnsi="黑体" w:eastAsia="黑体" w:cs="黑体"/>
          <w:color w:val="000000" w:themeColor="text1"/>
          <w:sz w:val="28"/>
          <w:szCs w:val="28"/>
          <w:lang w:val="en-US" w:eastAsia="zh-CN"/>
          <w14:textFill>
            <w14:solidFill>
              <w14:schemeClr w14:val="tx1"/>
            </w14:solidFill>
          </w14:textFill>
        </w:rPr>
        <w:t>考核</w:t>
      </w:r>
      <w:r>
        <w:rPr>
          <w:rFonts w:hint="eastAsia" w:ascii="黑体" w:hAnsi="黑体" w:eastAsia="黑体" w:cs="黑体"/>
          <w:color w:val="000000" w:themeColor="text1"/>
          <w:sz w:val="28"/>
          <w:szCs w:val="28"/>
          <w14:textFill>
            <w14:solidFill>
              <w14:schemeClr w14:val="tx1"/>
            </w14:solidFill>
          </w14:textFill>
        </w:rPr>
        <w:t>合格线</w:t>
      </w:r>
    </w:p>
    <w:p w14:paraId="51E2852A">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合格线为60分。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90DFA9-C23D-4607-B0DC-907D24FD68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auto"/>
    <w:pitch w:val="default"/>
    <w:sig w:usb0="A00002BF" w:usb1="184F6CFA" w:usb2="00000012" w:usb3="00000000" w:csb0="00040001" w:csb1="00000000"/>
    <w:embedRegular r:id="rId2" w:fontKey="{F99443BC-D9CD-4AD6-942D-1DC16AB570E4}"/>
  </w:font>
  <w:font w:name="微软雅黑">
    <w:panose1 w:val="020B0503020204020204"/>
    <w:charset w:val="86"/>
    <w:family w:val="auto"/>
    <w:pitch w:val="default"/>
    <w:sig w:usb0="80000287" w:usb1="2ACF3C50" w:usb2="00000016" w:usb3="00000000" w:csb0="0004001F" w:csb1="00000000"/>
    <w:embedRegular r:id="rId3" w:fontKey="{8123D53B-580C-4189-9DAC-49D9B880A3CB}"/>
  </w:font>
  <w:font w:name="方正楷体_GBK">
    <w:panose1 w:val="03000509000000000000"/>
    <w:charset w:val="86"/>
    <w:family w:val="auto"/>
    <w:pitch w:val="default"/>
    <w:sig w:usb0="00000001" w:usb1="080E0000" w:usb2="00000000" w:usb3="00000000" w:csb0="00040000" w:csb1="00000000"/>
    <w:embedRegular r:id="rId4" w:fontKey="{A726174F-3109-413A-B787-AF3A81FB96B7}"/>
  </w:font>
  <w:font w:name="楷体_GB2312">
    <w:panose1 w:val="02010609030101010101"/>
    <w:charset w:val="86"/>
    <w:family w:val="auto"/>
    <w:pitch w:val="default"/>
    <w:sig w:usb0="00000001" w:usb1="080E0000" w:usb2="00000000" w:usb3="00000000" w:csb0="00040000" w:csb1="00000000"/>
    <w:embedRegular r:id="rId5" w:fontKey="{8BEA6077-8FD5-4B3E-AF78-5AC0F82CD764}"/>
  </w:font>
  <w:font w:name="仿宋_GB2312">
    <w:panose1 w:val="02010609030101010101"/>
    <w:charset w:val="86"/>
    <w:family w:val="modern"/>
    <w:pitch w:val="default"/>
    <w:sig w:usb0="00000001" w:usb1="080E0000" w:usb2="00000000" w:usb3="00000000" w:csb0="00040000" w:csb1="00000000"/>
    <w:embedRegular r:id="rId6" w:fontKey="{0C113C97-811A-4671-9B85-5A217B6F8F14}"/>
  </w:font>
  <w:font w:name="仿宋">
    <w:panose1 w:val="02010609060101010101"/>
    <w:charset w:val="86"/>
    <w:family w:val="modern"/>
    <w:pitch w:val="default"/>
    <w:sig w:usb0="800002BF" w:usb1="38CF7CFA" w:usb2="00000016" w:usb3="00000000" w:csb0="00040001" w:csb1="00000000"/>
    <w:embedRegular r:id="rId7" w:fontKey="{F321656E-CE1A-42A2-A7EA-79E95D4EC1AA}"/>
  </w:font>
  <w:font w:name="WPSEMBED1">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185EEB"/>
    <w:rsid w:val="00315AEE"/>
    <w:rsid w:val="003E78D2"/>
    <w:rsid w:val="004F50B9"/>
    <w:rsid w:val="00673137"/>
    <w:rsid w:val="006844A7"/>
    <w:rsid w:val="00827872"/>
    <w:rsid w:val="008A6C8C"/>
    <w:rsid w:val="009465E6"/>
    <w:rsid w:val="009D5C67"/>
    <w:rsid w:val="00A05DF5"/>
    <w:rsid w:val="00CA65CB"/>
    <w:rsid w:val="00D16C6B"/>
    <w:rsid w:val="00DE4EA2"/>
    <w:rsid w:val="00E207AC"/>
    <w:rsid w:val="00E27929"/>
    <w:rsid w:val="00EB3DBE"/>
    <w:rsid w:val="00FD49AF"/>
    <w:rsid w:val="01AA7D1B"/>
    <w:rsid w:val="03960DC2"/>
    <w:rsid w:val="06265752"/>
    <w:rsid w:val="07603356"/>
    <w:rsid w:val="083F111A"/>
    <w:rsid w:val="09BC683E"/>
    <w:rsid w:val="0B560C7C"/>
    <w:rsid w:val="0BC83311"/>
    <w:rsid w:val="0E2851DB"/>
    <w:rsid w:val="10606175"/>
    <w:rsid w:val="13043907"/>
    <w:rsid w:val="14522278"/>
    <w:rsid w:val="1A1A55E6"/>
    <w:rsid w:val="1BF65BDF"/>
    <w:rsid w:val="1EAE44A4"/>
    <w:rsid w:val="219F2875"/>
    <w:rsid w:val="21DE339D"/>
    <w:rsid w:val="23C15FD1"/>
    <w:rsid w:val="26630315"/>
    <w:rsid w:val="27EF1BCF"/>
    <w:rsid w:val="290556B4"/>
    <w:rsid w:val="2A263B34"/>
    <w:rsid w:val="2D3622E0"/>
    <w:rsid w:val="2FC55B9D"/>
    <w:rsid w:val="31464ABB"/>
    <w:rsid w:val="3B7C7EE6"/>
    <w:rsid w:val="3CC24FA0"/>
    <w:rsid w:val="3E2B7513"/>
    <w:rsid w:val="3E460E59"/>
    <w:rsid w:val="3F5C2BE8"/>
    <w:rsid w:val="40A5279C"/>
    <w:rsid w:val="42DA1507"/>
    <w:rsid w:val="44A14C7E"/>
    <w:rsid w:val="45A1630C"/>
    <w:rsid w:val="46C04255"/>
    <w:rsid w:val="4FE44B1C"/>
    <w:rsid w:val="50CD4459"/>
    <w:rsid w:val="50D501B6"/>
    <w:rsid w:val="56480069"/>
    <w:rsid w:val="56D939D0"/>
    <w:rsid w:val="596D67DA"/>
    <w:rsid w:val="5C58551F"/>
    <w:rsid w:val="5FF01080"/>
    <w:rsid w:val="60940AF0"/>
    <w:rsid w:val="62C97DCC"/>
    <w:rsid w:val="63A951E8"/>
    <w:rsid w:val="684478A1"/>
    <w:rsid w:val="6EBE56B6"/>
    <w:rsid w:val="74313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0"/>
    <w:rPr>
      <w:color w:val="0026E5" w:themeColor="hyperlink"/>
      <w:u w:val="single"/>
      <w14:textFill>
        <w14:solidFill>
          <w14:schemeClr w14:val="hlink"/>
        </w14:solidFill>
      </w14:textFill>
    </w:rPr>
  </w:style>
  <w:style w:type="character" w:customStyle="1" w:styleId="9">
    <w:name w:val="批注框文本 字符"/>
    <w:basedOn w:val="7"/>
    <w:link w:val="2"/>
    <w:qFormat/>
    <w:uiPriority w:val="0"/>
    <w:rPr>
      <w:kern w:val="2"/>
      <w:sz w:val="18"/>
      <w:szCs w:val="18"/>
    </w:r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183CF-031E-45C0-8D35-FE17B04726D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2345</Words>
  <Characters>2683</Characters>
  <Lines>22</Lines>
  <Paragraphs>6</Paragraphs>
  <TotalTime>9</TotalTime>
  <ScaleCrop>false</ScaleCrop>
  <LinksUpToDate>false</LinksUpToDate>
  <CharactersWithSpaces>2741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2026-05-26T10:18:10Z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EBCA374E0CCB43AB804DC888A7E69795_13</vt:lpwstr>
  </property>
</Properties>
</file>